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2415709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2415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протоколов проверки результатов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государственной итоговой аттестации по образовательным программам основного общего образования в форме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основного государственного экзамена, государственного выпускного экзамена по учебным предметам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  <w:highlight w:val="none"/>
                                <w:lang w:val="ru-RU"/>
                              </w:rPr>
                              <w:t xml:space="preserve">«биология»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, «информатика», «химия», «физика», «история», «география», «обществознание», «иностранный язык», «русский язык»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резервные дни (26.06.2025, 27.06.2025, 28.06.2025) </w:t>
                              <w:br/>
                              <w:t xml:space="preserve">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2025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90.21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протоколов проверки результатов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государственной итоговой аттестации по образовательным программам основного общего образования в форме</w:t>
                      </w:r>
                      <w:r>
                        <w:rPr>
                          <w:sz w:val="28"/>
                          <w:szCs w:val="28"/>
                        </w:rPr>
                        <w:t xml:space="preserve"> основного государственного экзамена, государственного выпускного экзамена по учебным предметам </w:t>
                      </w:r>
                      <w:r>
                        <w:rPr>
                          <w:rFonts w:ascii="Times New Roman" w:hAnsi="Times New Roman" w:eastAsia="Calibri" w:cs="Times New Roman"/>
                          <w:sz w:val="28"/>
                          <w:szCs w:val="28"/>
                          <w:highlight w:val="none"/>
                          <w:lang w:val="ru-RU"/>
                        </w:rPr>
                        <w:t xml:space="preserve">«биология»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, «информатика», «химия», «физика», «история», «география», «обществознание», «иностранный язык», «русский язык»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в резервные дни (26.06.2025, 27.06.2025, 28.06.2025) </w:t>
                        <w:br/>
                        <w:t xml:space="preserve">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2025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line="252" w:lineRule="auto"/>
      </w:pPr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</w:t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№</w:t>
      </w:r>
      <w:r>
        <w:rPr>
          <w:color w:val="d9d9d9" w:themeColor="background1" w:themeShade="D9"/>
          <w:sz w:val="24"/>
          <w:szCs w:val="24"/>
        </w:rPr>
        <w:t xml:space="preserve">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20"/>
          <w:szCs w:val="20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  №  [Номер документа] </w:t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7923" w:leader="none"/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  <w:lang w:val="en-US"/>
        </w:rPr>
        <w:t xml:space="preserve">30</w:t>
      </w:r>
      <w:r>
        <w:rPr>
          <w:sz w:val="24"/>
          <w:szCs w:val="24"/>
          <w:highlight w:val="none"/>
          <w:lang w:val="ru-RU"/>
        </w:rPr>
        <w:t xml:space="preserve">.</w:t>
      </w:r>
      <w:r>
        <w:rPr>
          <w:sz w:val="24"/>
          <w:szCs w:val="24"/>
          <w:highlight w:val="none"/>
          <w:lang w:val="en-US"/>
        </w:rPr>
        <w:t xml:space="preserve">06</w:t>
      </w:r>
      <w:r>
        <w:rPr>
          <w:sz w:val="24"/>
          <w:szCs w:val="24"/>
          <w:highlight w:val="none"/>
          <w:lang w:val="ru-RU"/>
        </w:rPr>
        <w:t xml:space="preserve">.</w:t>
      </w:r>
      <w:r>
        <w:rPr>
          <w:sz w:val="24"/>
          <w:szCs w:val="24"/>
          <w:highlight w:val="none"/>
          <w:lang w:val="en-US"/>
        </w:rPr>
        <w:t xml:space="preserve">2025</w:t>
      </w: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10-П-1327</w:t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04.04.2023 № 232/551, на основании решения председателя Государственной экзаменационной комиссии </w:t>
        <w:br/>
        <w:t xml:space="preserve">Ханты-Мансийского автономного округа – Югры (протокол от 30.06.2025 </w:t>
      </w:r>
      <w:r>
        <w:rPr>
          <w:sz w:val="28"/>
          <w:szCs w:val="28"/>
          <w:highlight w:val="none"/>
        </w:rPr>
        <w:t xml:space="preserve">№ 77</w:t>
      </w:r>
      <w:r>
        <w:rPr>
          <w:sz w:val="28"/>
          <w:szCs w:val="28"/>
          <w:highlight w:val="none"/>
        </w:rPr>
        <w:t xml:space="preserve">-П</w:t>
      </w:r>
      <w:r>
        <w:rPr>
          <w:sz w:val="28"/>
          <w:szCs w:val="28"/>
          <w:highlight w:val="none"/>
        </w:rPr>
        <w:t xml:space="preserve">),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в электронном виде протоколы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основного государственного экзамена, государственного выпускного экзамена (далее – ОГЭ, ГВЭ)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учебным предметам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«биология»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«информатика», «химия», «физика», «история», «география», «обществознание», «иностранный язык», «русский язык»</w:t>
      </w:r>
      <w:r>
        <w:rPr>
          <w:rFonts w:eastAsia="Calibri"/>
          <w:sz w:val="28"/>
          <w:szCs w:val="28"/>
          <w:lang w:eastAsia="en-US"/>
        </w:rPr>
        <w:t xml:space="preserve">, проводимого </w:t>
        <w:br/>
        <w:t xml:space="preserve">в резервные дни (</w:t>
      </w:r>
      <w:r>
        <w:rPr>
          <w:sz w:val="28"/>
          <w:szCs w:val="28"/>
        </w:rPr>
        <w:t xml:space="preserve">26.06.2025, 27.06.2025, 28.06.2025</w:t>
      </w:r>
      <w:r>
        <w:rPr>
          <w:rFonts w:eastAsia="Calibri"/>
          <w:sz w:val="28"/>
          <w:szCs w:val="28"/>
          <w:lang w:eastAsia="en-US"/>
        </w:rPr>
        <w:t xml:space="preserve">) основного периода </w:t>
        <w:br/>
        <w:t xml:space="preserve">в 2025 году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Считать 01.07.2025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датой объявления результатов ОГЭ, ГВЭ </w:t>
        <w:br/>
      </w:r>
      <w:r>
        <w:rPr>
          <w:sz w:val="28"/>
          <w:szCs w:val="28"/>
        </w:rPr>
        <w:t xml:space="preserve">по учебным предметам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«биология»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«информатика», «химия», «физика», «история», «география», «обществознание», «иностранный язык», «русский язык»</w:t>
      </w:r>
      <w:r>
        <w:rPr>
          <w:rFonts w:eastAsia="Calibri"/>
          <w:sz w:val="28"/>
          <w:szCs w:val="28"/>
          <w:lang w:eastAsia="en-US"/>
        </w:rPr>
        <w:t xml:space="preserve">, проводимого в резервные дни (</w:t>
      </w:r>
      <w:r>
        <w:rPr>
          <w:sz w:val="28"/>
          <w:szCs w:val="28"/>
        </w:rPr>
        <w:t xml:space="preserve">26.06.2025, 27.06.2025, 28.06.2025</w:t>
      </w:r>
      <w:r>
        <w:rPr>
          <w:rFonts w:eastAsia="Calibri"/>
          <w:sz w:val="28"/>
          <w:szCs w:val="28"/>
          <w:lang w:eastAsia="en-US"/>
        </w:rPr>
        <w:t xml:space="preserve">) основного периода 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Рекомендовать руководителям </w:t>
      </w:r>
      <w:r>
        <w:rPr>
          <w:sz w:val="28"/>
          <w:szCs w:val="28"/>
        </w:rPr>
        <w:t xml:space="preserve">органов местного самоуправления муниципальных образований Ханты-Мансийского автономного округа </w:t>
        <w:br/>
        <w:t xml:space="preserve">– Югры, осуществляющих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находящихся в ведении </w:t>
      </w:r>
      <w:r>
        <w:rPr>
          <w:sz w:val="28"/>
          <w:szCs w:val="28"/>
        </w:rPr>
        <w:t xml:space="preserve">Департамента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 (далее – Департамент) 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Г.К. Хидирлясов, М.Н. Наумов,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О.В. Елфимова, О.В. Петрова, </w:t>
        <w:br/>
        <w:t xml:space="preserve">А.В. Жуков,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С.Ю. Платонова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)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3.1. Обеспечить доведение, утвержденных пунктом 1 протоколов проверки результатов ОГЭ, ГВЭ </w:t>
      </w:r>
      <w:r>
        <w:rPr>
          <w:sz w:val="28"/>
          <w:szCs w:val="28"/>
        </w:rPr>
        <w:t xml:space="preserve">по учебным предметам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«биология»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«информатика», «химия», «физика», «история», «география», «обществознание», «иностранный язык», «русский язык»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в срок </w:t>
        <w:br/>
        <w:t xml:space="preserve">до 20.00 часов 01.07.2025 до сведения участников ОГЭ, ГВЭ;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3.2.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подтверждени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освоения выпускниками основных образовательных программ основного общего образования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руководствоваться п</w:t>
      </w:r>
      <w:r>
        <w:rPr>
          <w:sz w:val="28"/>
          <w:szCs w:val="28"/>
        </w:rPr>
        <w:t xml:space="preserve">риказом Департамента</w:t>
      </w:r>
      <w:r>
        <w:rPr>
          <w:sz w:val="28"/>
          <w:szCs w:val="28"/>
        </w:rPr>
        <w:t xml:space="preserve"> от 18.02.2025 </w:t>
      </w:r>
      <w:r>
        <w:rPr>
          <w:sz w:val="28"/>
          <w:szCs w:val="28"/>
        </w:rPr>
        <w:t xml:space="preserve">№ 10-П-285 </w:t>
        <w:br/>
        <w:t xml:space="preserve">«</w:t>
      </w:r>
      <w:r>
        <w:rPr>
          <w:sz w:val="28"/>
          <w:szCs w:val="28"/>
        </w:rPr>
        <w:t xml:space="preserve">Об установлении шкалы перевода суммы первичных баллов </w:t>
        <w:br/>
        <w:t xml:space="preserve">за </w:t>
      </w:r>
      <w:r>
        <w:rPr>
          <w:sz w:val="28"/>
          <w:szCs w:val="28"/>
        </w:rPr>
        <w:t xml:space="preserve">экзаменационные работы участников 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 в форме основного государственного экзамена, </w:t>
      </w:r>
      <w:r>
        <w:rPr>
          <w:sz w:val="28"/>
          <w:szCs w:val="28"/>
        </w:rPr>
        <w:t xml:space="preserve">государственного выпускного экзамена, по образовательным </w:t>
      </w:r>
      <w:r>
        <w:rPr>
          <w:sz w:val="28"/>
          <w:szCs w:val="28"/>
        </w:rPr>
        <w:t xml:space="preserve">программам среднего общего образования в форме государственного </w:t>
      </w:r>
      <w:r>
        <w:rPr>
          <w:sz w:val="28"/>
          <w:szCs w:val="28"/>
        </w:rPr>
        <w:t xml:space="preserve">выпускного экзамена на территории </w:t>
      </w:r>
      <w:r>
        <w:rPr>
          <w:sz w:val="28"/>
          <w:szCs w:val="28"/>
        </w:rPr>
        <w:t xml:space="preserve">Ханты-Мансийского автономного округа – Югры в 2025 году</w:t>
      </w:r>
      <w:r>
        <w:rPr>
          <w:sz w:val="28"/>
          <w:szCs w:val="28"/>
        </w:rPr>
        <w:t xml:space="preserve">», при прохождении участниками </w:t>
      </w:r>
      <w:r>
        <w:rPr>
          <w:sz w:val="28"/>
          <w:szCs w:val="28"/>
        </w:rPr>
        <w:t xml:space="preserve">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в форме ОГЭ, ГВЭ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Установить срок подачи апелляции о несогласии </w:t>
        <w:br/>
        <w:t xml:space="preserve">с выставленными баллами по результатам ОГЭ, ГВЭ, полученными участниками экзамена в основной день основного периода в 2025 году, </w:t>
        <w:br/>
        <w:t xml:space="preserve">до 17.00 часов 03.07.2025.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</w:t>
        <w:br/>
        <w:t xml:space="preserve">«Институт развития образования» – организации, уполномоченной осуществлять функции Регионального центра обработки информации </w:t>
        <w:br/>
        <w:t xml:space="preserve">(В.В. Клюсова), обеспечить передачу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ротоколов проверки результатов участников ОГЭ, ГВЭ в резервные дни основного периода в 2025 году по защищенным каналам связи в органы местного самоуправления </w:t>
      </w:r>
      <w:r>
        <w:rPr>
          <w:sz w:val="28"/>
          <w:szCs w:val="28"/>
        </w:rPr>
        <w:t xml:space="preserve">муниципальных образований Ханты-Мансийского автономного </w:t>
        <w:br/>
        <w:t xml:space="preserve">округа – Югры, осуществляющие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Административно-ресурсному отделу Административного управления Департамента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рассылку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Контроль исполнения настоящего приказа возложить </w:t>
        <w:br/>
        <w:t xml:space="preserve">на заместителя директора Департамента И.В. Святченко.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rStyle w:val="982"/>
        </w:rPr>
      </w:pPr>
      <w:r>
        <w:rPr>
          <w:rStyle w:val="982"/>
        </w:rPr>
      </w:r>
      <w:r>
        <w:rPr>
          <w:rStyle w:val="982"/>
        </w:rPr>
      </w:r>
      <w:r>
        <w:rPr>
          <w:rStyle w:val="982"/>
        </w:rPr>
      </w:r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6" w:h="16838" w:orient="portrait"/>
      <w:pgMar w:top="850" w:right="1276" w:bottom="850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9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Heading 1 Char"/>
    <w:basedOn w:val="944"/>
    <w:link w:val="938"/>
    <w:uiPriority w:val="9"/>
    <w:rPr>
      <w:rFonts w:ascii="Arial" w:hAnsi="Arial" w:eastAsia="Arial" w:cs="Arial"/>
      <w:sz w:val="40"/>
      <w:szCs w:val="40"/>
    </w:rPr>
  </w:style>
  <w:style w:type="character" w:styleId="772">
    <w:name w:val="Heading 2 Char"/>
    <w:basedOn w:val="944"/>
    <w:link w:val="939"/>
    <w:uiPriority w:val="9"/>
    <w:rPr>
      <w:rFonts w:ascii="Arial" w:hAnsi="Arial" w:eastAsia="Arial" w:cs="Arial"/>
      <w:sz w:val="34"/>
    </w:rPr>
  </w:style>
  <w:style w:type="character" w:styleId="773">
    <w:name w:val="Heading 3 Char"/>
    <w:basedOn w:val="944"/>
    <w:link w:val="940"/>
    <w:uiPriority w:val="9"/>
    <w:rPr>
      <w:rFonts w:ascii="Arial" w:hAnsi="Arial" w:eastAsia="Arial" w:cs="Arial"/>
      <w:sz w:val="30"/>
      <w:szCs w:val="30"/>
    </w:rPr>
  </w:style>
  <w:style w:type="character" w:styleId="774">
    <w:name w:val="Heading 4 Char"/>
    <w:basedOn w:val="94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character" w:styleId="775">
    <w:name w:val="Heading 5 Char"/>
    <w:basedOn w:val="944"/>
    <w:link w:val="942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4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944"/>
    <w:link w:val="9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4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4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character" w:styleId="784">
    <w:name w:val="Title Char"/>
    <w:basedOn w:val="944"/>
    <w:link w:val="959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4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4"/>
    <w:link w:val="965"/>
    <w:uiPriority w:val="99"/>
  </w:style>
  <w:style w:type="character" w:styleId="792">
    <w:name w:val="Footer Char"/>
    <w:basedOn w:val="944"/>
    <w:link w:val="966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6"/>
    <w:uiPriority w:val="99"/>
  </w:style>
  <w:style w:type="table" w:styleId="795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4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4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rPr>
      <w:rFonts w:ascii="Times New Roman" w:hAnsi="Times New Roman" w:eastAsia="Times New Roman"/>
    </w:rPr>
  </w:style>
  <w:style w:type="paragraph" w:styleId="938">
    <w:name w:val="Heading 1"/>
    <w:basedOn w:val="937"/>
    <w:next w:val="937"/>
    <w:link w:val="982"/>
    <w:qFormat/>
    <w:pPr>
      <w:keepNext/>
      <w:outlineLvl w:val="0"/>
    </w:pPr>
    <w:rPr>
      <w:sz w:val="28"/>
      <w:szCs w:val="24"/>
    </w:rPr>
  </w:style>
  <w:style w:type="paragraph" w:styleId="939">
    <w:name w:val="Heading 2"/>
    <w:basedOn w:val="937"/>
    <w:next w:val="937"/>
    <w:link w:val="97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0">
    <w:name w:val="Heading 3"/>
    <w:basedOn w:val="937"/>
    <w:next w:val="93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1">
    <w:name w:val="Heading 4"/>
    <w:basedOn w:val="937"/>
    <w:next w:val="937"/>
    <w:qFormat/>
    <w:pPr>
      <w:keepNext/>
      <w:outlineLvl w:val="3"/>
    </w:pPr>
    <w:rPr>
      <w:b/>
      <w:bCs/>
      <w:sz w:val="28"/>
      <w:szCs w:val="24"/>
    </w:rPr>
  </w:style>
  <w:style w:type="paragraph" w:styleId="942">
    <w:name w:val="Heading 5"/>
    <w:basedOn w:val="937"/>
    <w:next w:val="937"/>
    <w:qFormat/>
    <w:pPr>
      <w:jc w:val="center"/>
      <w:keepNext/>
      <w:outlineLvl w:val="4"/>
    </w:pPr>
    <w:rPr>
      <w:i/>
      <w:sz w:val="24"/>
      <w:szCs w:val="24"/>
    </w:rPr>
  </w:style>
  <w:style w:type="paragraph" w:styleId="943">
    <w:name w:val="Heading 7"/>
    <w:basedOn w:val="937"/>
    <w:next w:val="937"/>
    <w:qFormat/>
    <w:pPr>
      <w:spacing w:before="240" w:after="60"/>
      <w:outlineLvl w:val="6"/>
    </w:pPr>
    <w:rPr>
      <w:sz w:val="24"/>
      <w:szCs w:val="24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37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paragraph" w:styleId="949">
    <w:name w:val="E-mail Signature"/>
    <w:basedOn w:val="937"/>
    <w:link w:val="950"/>
    <w:uiPriority w:val="99"/>
    <w:semiHidden/>
    <w:unhideWhenUsed/>
    <w:rPr>
      <w:rFonts w:ascii="Calibri" w:hAnsi="Calibri"/>
      <w:sz w:val="22"/>
      <w:szCs w:val="22"/>
    </w:rPr>
  </w:style>
  <w:style w:type="character" w:styleId="950" w:customStyle="1">
    <w:name w:val="Электронная подпись Знак"/>
    <w:link w:val="949"/>
    <w:uiPriority w:val="99"/>
    <w:semiHidden/>
    <w:rPr>
      <w:rFonts w:ascii="Calibri" w:hAnsi="Calibri" w:eastAsia="Times New Roman" w:cs="Times New Roman"/>
      <w:lang w:eastAsia="ru-RU"/>
    </w:rPr>
  </w:style>
  <w:style w:type="paragraph" w:styleId="951" w:customStyle="1">
    <w:name w:val="Знак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52">
    <w:name w:val="Table Grid"/>
    <w:basedOn w:val="9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Body Text Indent"/>
    <w:basedOn w:val="937"/>
    <w:pPr>
      <w:ind w:left="283"/>
      <w:spacing w:after="120"/>
    </w:pPr>
    <w:rPr>
      <w:sz w:val="24"/>
      <w:szCs w:val="24"/>
    </w:rPr>
  </w:style>
  <w:style w:type="paragraph" w:styleId="95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5">
    <w:name w:val="List Paragraph"/>
    <w:basedOn w:val="937"/>
    <w:link w:val="98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6">
    <w:name w:val="Body Text"/>
    <w:basedOn w:val="937"/>
    <w:link w:val="983"/>
    <w:pPr>
      <w:spacing w:after="120"/>
    </w:pPr>
  </w:style>
  <w:style w:type="character" w:styleId="957">
    <w:name w:val="Hyperlink"/>
    <w:unhideWhenUsed/>
    <w:rPr>
      <w:color w:val="0000ff"/>
      <w:u w:val="single"/>
    </w:rPr>
  </w:style>
  <w:style w:type="character" w:styleId="958">
    <w:name w:val="FollowedHyperlink"/>
    <w:rPr>
      <w:color w:val="800080"/>
      <w:u w:val="single"/>
    </w:rPr>
  </w:style>
  <w:style w:type="paragraph" w:styleId="959">
    <w:name w:val="Title"/>
    <w:basedOn w:val="937"/>
    <w:qFormat/>
    <w:pPr>
      <w:jc w:val="center"/>
    </w:pPr>
    <w:rPr>
      <w:b/>
      <w:sz w:val="24"/>
      <w:szCs w:val="24"/>
    </w:rPr>
  </w:style>
  <w:style w:type="paragraph" w:styleId="960">
    <w:name w:val="Body Text Indent 2"/>
    <w:basedOn w:val="937"/>
    <w:pPr>
      <w:ind w:left="708"/>
      <w:jc w:val="both"/>
    </w:pPr>
    <w:rPr>
      <w:sz w:val="28"/>
      <w:szCs w:val="24"/>
    </w:rPr>
  </w:style>
  <w:style w:type="paragraph" w:styleId="961">
    <w:name w:val="Body Text Indent 3"/>
    <w:basedOn w:val="937"/>
    <w:pPr>
      <w:ind w:left="708" w:firstLine="709"/>
      <w:jc w:val="both"/>
    </w:pPr>
    <w:rPr>
      <w:sz w:val="28"/>
      <w:szCs w:val="24"/>
    </w:rPr>
  </w:style>
  <w:style w:type="paragraph" w:styleId="962">
    <w:name w:val="Body Text 2"/>
    <w:basedOn w:val="937"/>
    <w:pPr>
      <w:jc w:val="center"/>
    </w:pPr>
    <w:rPr>
      <w:bCs/>
      <w:sz w:val="28"/>
      <w:szCs w:val="24"/>
    </w:rPr>
  </w:style>
  <w:style w:type="character" w:styleId="963" w:customStyle="1">
    <w:name w:val="Заголовок 7 Знак"/>
    <w:rPr>
      <w:sz w:val="24"/>
      <w:szCs w:val="24"/>
    </w:rPr>
  </w:style>
  <w:style w:type="paragraph" w:styleId="964">
    <w:name w:val="Body Text 3"/>
    <w:basedOn w:val="937"/>
    <w:rPr>
      <w:sz w:val="24"/>
    </w:rPr>
  </w:style>
  <w:style w:type="paragraph" w:styleId="965">
    <w:name w:val="Head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6">
    <w:name w:val="Foot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7" w:customStyle="1">
    <w:name w:val="Знак1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8" w:customStyle="1">
    <w:name w:val="Знак1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9" w:customStyle="1">
    <w:name w:val="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0">
    <w:name w:val="Plain Text"/>
    <w:basedOn w:val="937"/>
    <w:link w:val="980"/>
    <w:rPr>
      <w:rFonts w:ascii="Courier New" w:hAnsi="Courier New" w:cs="Courier New"/>
    </w:rPr>
  </w:style>
  <w:style w:type="paragraph" w:styleId="971">
    <w:name w:val="Normal (Web)"/>
    <w:basedOn w:val="93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72">
    <w:name w:val="page number"/>
    <w:basedOn w:val="944"/>
  </w:style>
  <w:style w:type="paragraph" w:styleId="973" w:customStyle="1">
    <w:name w:val="Основной текст 21"/>
    <w:basedOn w:val="937"/>
    <w:pPr>
      <w:ind w:firstLine="360"/>
      <w:jc w:val="both"/>
    </w:pPr>
    <w:rPr>
      <w:sz w:val="24"/>
    </w:rPr>
  </w:style>
  <w:style w:type="paragraph" w:styleId="974" w:customStyle="1">
    <w:name w:val="Знак Знак Знак Знак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5" w:customStyle="1">
    <w:name w:val="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7" w:customStyle="1">
    <w:name w:val="Заголовок 2 Знак"/>
    <w:link w:val="9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78" w:customStyle="1">
    <w:name w:val="zagolovok"/>
    <w:basedOn w:val="944"/>
  </w:style>
  <w:style w:type="paragraph" w:styleId="979" w:customStyle="1">
    <w:name w:val="Char Char Char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0" w:customStyle="1">
    <w:name w:val="Текст Знак"/>
    <w:link w:val="970"/>
    <w:rPr>
      <w:rFonts w:ascii="Courier New" w:hAnsi="Courier New" w:cs="Courier New"/>
      <w:lang w:val="ru-RU" w:eastAsia="ru-RU" w:bidi="ar-SA"/>
    </w:rPr>
  </w:style>
  <w:style w:type="character" w:styleId="98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82" w:customStyle="1">
    <w:name w:val="Заголовок 1 Знак"/>
    <w:link w:val="938"/>
    <w:rPr>
      <w:rFonts w:ascii="Times New Roman" w:hAnsi="Times New Roman" w:eastAsia="Times New Roman"/>
      <w:sz w:val="28"/>
      <w:szCs w:val="24"/>
    </w:rPr>
  </w:style>
  <w:style w:type="character" w:styleId="983" w:customStyle="1">
    <w:name w:val="Основной текст Знак"/>
    <w:link w:val="956"/>
    <w:rPr>
      <w:rFonts w:ascii="Times New Roman" w:hAnsi="Times New Roman" w:eastAsia="Times New Roman"/>
    </w:rPr>
  </w:style>
  <w:style w:type="character" w:styleId="984" w:customStyle="1">
    <w:name w:val="Абзац списка Знак"/>
    <w:link w:val="955"/>
    <w:uiPriority w:val="34"/>
    <w:rPr>
      <w:rFonts w:eastAsia="Times New Roman"/>
      <w:sz w:val="22"/>
      <w:szCs w:val="22"/>
    </w:rPr>
  </w:style>
  <w:style w:type="character" w:styleId="985" w:customStyle="1">
    <w:name w:val="Гипертекстовая ссылка"/>
    <w:uiPriority w:val="99"/>
    <w:rPr>
      <w:b/>
      <w:bCs/>
      <w:color w:val="106bbe"/>
    </w:rPr>
  </w:style>
  <w:style w:type="character" w:styleId="986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98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8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89" w:customStyle="1">
    <w:name w:val="Основной текст1"/>
    <w:basedOn w:val="860"/>
    <w:link w:val="868"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50</cp:revision>
  <dcterms:created xsi:type="dcterms:W3CDTF">2020-07-30T10:33:00Z</dcterms:created>
  <dcterms:modified xsi:type="dcterms:W3CDTF">2025-07-01T04:39:52Z</dcterms:modified>
</cp:coreProperties>
</file>